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2D5" w:rsidRPr="00050628" w:rsidRDefault="004742D5" w:rsidP="00933D17">
      <w:pPr>
        <w:bidi/>
        <w:jc w:val="center"/>
        <w:rPr>
          <w:rFonts w:cs="B Badr"/>
          <w:sz w:val="32"/>
          <w:szCs w:val="32"/>
          <w:rtl/>
          <w:lang w:bidi="fa-IR"/>
        </w:rPr>
      </w:pPr>
      <w:r w:rsidRPr="00050628">
        <w:rPr>
          <w:rFonts w:cs="B Badr" w:hint="cs"/>
          <w:sz w:val="32"/>
          <w:szCs w:val="32"/>
          <w:rtl/>
          <w:lang w:bidi="fa-IR"/>
        </w:rPr>
        <w:t>خارج اصول91</w:t>
      </w:r>
    </w:p>
    <w:p w:rsidR="00634EC9" w:rsidRPr="00050628" w:rsidRDefault="00634EC9" w:rsidP="00933D17">
      <w:pPr>
        <w:bidi/>
        <w:jc w:val="center"/>
        <w:rPr>
          <w:rFonts w:cs="B Badr"/>
          <w:sz w:val="32"/>
          <w:szCs w:val="32"/>
          <w:rtl/>
          <w:lang w:bidi="fa-IR"/>
        </w:rPr>
      </w:pPr>
      <w:r w:rsidRPr="00050628">
        <w:rPr>
          <w:rFonts w:cs="B Badr" w:hint="cs"/>
          <w:sz w:val="32"/>
          <w:szCs w:val="32"/>
          <w:rtl/>
          <w:lang w:bidi="fa-IR"/>
        </w:rPr>
        <w:t>چهارشنبه*8/ 12/ 97</w:t>
      </w:r>
    </w:p>
    <w:p w:rsidR="00634EC9" w:rsidRPr="00933D17" w:rsidRDefault="00634EC9" w:rsidP="00933D17">
      <w:pPr>
        <w:pBdr>
          <w:bottom w:val="single" w:sz="12" w:space="1" w:color="auto"/>
        </w:pBdr>
        <w:bidi/>
        <w:jc w:val="center"/>
        <w:rPr>
          <w:rFonts w:cs="B Badr"/>
          <w:color w:val="FF0000"/>
          <w:sz w:val="32"/>
          <w:szCs w:val="32"/>
          <w:rtl/>
          <w:lang w:bidi="fa-IR"/>
        </w:rPr>
      </w:pPr>
      <w:r w:rsidRPr="00933D17">
        <w:rPr>
          <w:rFonts w:cs="B Badr" w:hint="cs"/>
          <w:color w:val="FF0000"/>
          <w:sz w:val="32"/>
          <w:szCs w:val="32"/>
          <w:rtl/>
          <w:lang w:bidi="fa-IR"/>
        </w:rPr>
        <w:t>*بحث إجزاء*</w:t>
      </w:r>
    </w:p>
    <w:p w:rsidR="00634EC9" w:rsidRPr="00933D17" w:rsidRDefault="00634EC9" w:rsidP="00634EC9">
      <w:pPr>
        <w:bidi/>
        <w:rPr>
          <w:rFonts w:cs="B Badr"/>
          <w:color w:val="00B050"/>
          <w:sz w:val="32"/>
          <w:szCs w:val="32"/>
          <w:rtl/>
          <w:lang w:bidi="fa-IR"/>
        </w:rPr>
      </w:pPr>
      <w:r w:rsidRPr="00933D17">
        <w:rPr>
          <w:rFonts w:cs="B Badr" w:hint="cs"/>
          <w:color w:val="00B050"/>
          <w:sz w:val="32"/>
          <w:szCs w:val="32"/>
          <w:rtl/>
          <w:lang w:bidi="fa-IR"/>
        </w:rPr>
        <w:t>موعظه</w:t>
      </w:r>
    </w:p>
    <w:p w:rsidR="009B4DC8" w:rsidRPr="00050628" w:rsidRDefault="004742D5" w:rsidP="00050628">
      <w:pPr>
        <w:bidi/>
        <w:rPr>
          <w:rFonts w:cs="B Badr"/>
          <w:sz w:val="32"/>
          <w:szCs w:val="32"/>
          <w:rtl/>
          <w:lang w:bidi="fa-IR"/>
        </w:rPr>
      </w:pPr>
      <w:r w:rsidRPr="00050628">
        <w:rPr>
          <w:rFonts w:cs="B Badr" w:hint="cs"/>
          <w:sz w:val="32"/>
          <w:szCs w:val="32"/>
          <w:rtl/>
          <w:lang w:bidi="fa-IR"/>
        </w:rPr>
        <w:t>و من يكتسب مالا من غير حق</w:t>
      </w:r>
      <w:r w:rsidR="00050628">
        <w:rPr>
          <w:rFonts w:cs="B Badr" w:hint="cs"/>
          <w:sz w:val="32"/>
          <w:szCs w:val="32"/>
          <w:rtl/>
          <w:lang w:bidi="fa-IR"/>
        </w:rPr>
        <w:t>ّ</w:t>
      </w:r>
      <w:r w:rsidRPr="00050628">
        <w:rPr>
          <w:rFonts w:cs="B Badr" w:hint="cs"/>
          <w:sz w:val="32"/>
          <w:szCs w:val="32"/>
          <w:rtl/>
          <w:lang w:bidi="fa-IR"/>
        </w:rPr>
        <w:t>ه</w:t>
      </w:r>
      <w:r w:rsidR="00050628">
        <w:rPr>
          <w:rFonts w:cs="B Badr" w:hint="cs"/>
          <w:sz w:val="32"/>
          <w:szCs w:val="32"/>
          <w:rtl/>
          <w:lang w:bidi="fa-IR"/>
        </w:rPr>
        <w:t>،</w:t>
      </w:r>
      <w:r w:rsidRPr="00050628">
        <w:rPr>
          <w:rFonts w:cs="B Badr" w:hint="cs"/>
          <w:sz w:val="32"/>
          <w:szCs w:val="32"/>
          <w:rtl/>
          <w:lang w:bidi="fa-IR"/>
        </w:rPr>
        <w:t xml:space="preserve"> يصرفه في غير</w:t>
      </w:r>
      <w:r w:rsidR="00050628">
        <w:rPr>
          <w:rFonts w:cs="B Badr" w:hint="cs"/>
          <w:sz w:val="32"/>
          <w:szCs w:val="32"/>
          <w:rtl/>
          <w:lang w:bidi="fa-IR"/>
        </w:rPr>
        <w:t xml:space="preserve"> أجره.</w:t>
      </w:r>
      <w:r w:rsidR="00050628">
        <w:rPr>
          <w:rStyle w:val="FootnoteReference"/>
          <w:rFonts w:cs="B Badr"/>
          <w:sz w:val="32"/>
          <w:szCs w:val="32"/>
          <w:rtl/>
          <w:lang w:bidi="fa-IR"/>
        </w:rPr>
        <w:footnoteReference w:id="1"/>
      </w:r>
    </w:p>
    <w:p w:rsidR="00050628" w:rsidRDefault="00050628" w:rsidP="00890998">
      <w:pPr>
        <w:bidi/>
        <w:rPr>
          <w:rFonts w:cs="B Badr"/>
          <w:sz w:val="32"/>
          <w:szCs w:val="32"/>
          <w:rtl/>
        </w:rPr>
      </w:pPr>
      <w:r>
        <w:rPr>
          <w:rFonts w:cs="B Badr" w:hint="cs"/>
          <w:sz w:val="32"/>
          <w:szCs w:val="32"/>
          <w:rtl/>
        </w:rPr>
        <w:t>أجره:</w:t>
      </w:r>
      <w:r w:rsidR="00933D17">
        <w:rPr>
          <w:rFonts w:cs="B Badr" w:hint="cs"/>
          <w:sz w:val="32"/>
          <w:szCs w:val="32"/>
          <w:rtl/>
        </w:rPr>
        <w:t xml:space="preserve"> أی</w:t>
      </w:r>
      <w:r>
        <w:rPr>
          <w:rFonts w:cs="B Badr" w:hint="cs"/>
          <w:sz w:val="32"/>
          <w:szCs w:val="32"/>
          <w:rtl/>
        </w:rPr>
        <w:t xml:space="preserve"> صلاحه؛ </w:t>
      </w:r>
      <w:r w:rsidR="00451B60">
        <w:rPr>
          <w:rFonts w:cs="B Badr" w:hint="cs"/>
          <w:sz w:val="32"/>
          <w:szCs w:val="32"/>
          <w:rtl/>
        </w:rPr>
        <w:t>کسی که مالی را از راه نامشروع یا بدون استحقاق بدست بیاورد، در راهی</w:t>
      </w:r>
      <w:r w:rsidR="00890998">
        <w:rPr>
          <w:rFonts w:cs="B Badr" w:hint="cs"/>
          <w:sz w:val="32"/>
          <w:szCs w:val="32"/>
          <w:rtl/>
        </w:rPr>
        <w:t xml:space="preserve"> مصرف خواهد کرد</w:t>
      </w:r>
      <w:r w:rsidR="00451B60">
        <w:rPr>
          <w:rFonts w:cs="B Badr" w:hint="cs"/>
          <w:sz w:val="32"/>
          <w:szCs w:val="32"/>
          <w:rtl/>
        </w:rPr>
        <w:t xml:space="preserve"> که</w:t>
      </w:r>
      <w:r w:rsidR="00890998">
        <w:rPr>
          <w:rFonts w:cs="B Badr" w:hint="cs"/>
          <w:sz w:val="32"/>
          <w:szCs w:val="32"/>
          <w:rtl/>
        </w:rPr>
        <w:t xml:space="preserve"> به</w:t>
      </w:r>
      <w:r w:rsidR="00451B60">
        <w:rPr>
          <w:rFonts w:cs="B Badr" w:hint="cs"/>
          <w:sz w:val="32"/>
          <w:szCs w:val="32"/>
          <w:rtl/>
        </w:rPr>
        <w:t xml:space="preserve"> صلاحش نیست</w:t>
      </w:r>
      <w:r w:rsidR="00890998">
        <w:rPr>
          <w:rFonts w:cs="B Badr" w:hint="cs"/>
          <w:sz w:val="32"/>
          <w:szCs w:val="32"/>
          <w:rtl/>
        </w:rPr>
        <w:t>.</w:t>
      </w:r>
    </w:p>
    <w:p w:rsidR="00050628" w:rsidRPr="00933D17" w:rsidRDefault="00050628" w:rsidP="00933D17">
      <w:pPr>
        <w:bidi/>
        <w:jc w:val="center"/>
        <w:rPr>
          <w:rFonts w:cs="B Badr"/>
          <w:color w:val="00B050"/>
          <w:sz w:val="32"/>
          <w:szCs w:val="32"/>
          <w:rtl/>
        </w:rPr>
      </w:pPr>
      <w:r w:rsidRPr="00933D17">
        <w:rPr>
          <w:rFonts w:cs="B Badr" w:hint="cs"/>
          <w:color w:val="00B050"/>
          <w:sz w:val="32"/>
          <w:szCs w:val="32"/>
          <w:rtl/>
        </w:rPr>
        <w:t>*******</w:t>
      </w:r>
    </w:p>
    <w:p w:rsidR="0006112F" w:rsidRDefault="0006112F" w:rsidP="00050628">
      <w:pPr>
        <w:bidi/>
        <w:rPr>
          <w:rFonts w:cs="B Badr"/>
          <w:sz w:val="32"/>
          <w:szCs w:val="32"/>
          <w:rtl/>
        </w:rPr>
      </w:pPr>
      <w:r>
        <w:rPr>
          <w:rFonts w:cs="B Badr" w:hint="cs"/>
          <w:sz w:val="32"/>
          <w:szCs w:val="32"/>
          <w:rtl/>
        </w:rPr>
        <w:t>ادامه ی تنبیهات باب إجزاء</w:t>
      </w:r>
    </w:p>
    <w:p w:rsidR="00050628" w:rsidRPr="00933D17" w:rsidRDefault="00567EF4" w:rsidP="0006112F">
      <w:pPr>
        <w:bidi/>
        <w:rPr>
          <w:rFonts w:cs="B Badr"/>
          <w:color w:val="0070C0"/>
          <w:sz w:val="32"/>
          <w:szCs w:val="32"/>
          <w:rtl/>
        </w:rPr>
      </w:pPr>
      <w:r w:rsidRPr="00933D17">
        <w:rPr>
          <w:rFonts w:cs="B Badr" w:hint="cs"/>
          <w:color w:val="0070C0"/>
          <w:sz w:val="32"/>
          <w:szCs w:val="32"/>
          <w:rtl/>
        </w:rPr>
        <w:t>تنبیه پنجم</w:t>
      </w:r>
    </w:p>
    <w:p w:rsidR="00567EF4" w:rsidRPr="001616E9" w:rsidRDefault="00567EF4" w:rsidP="00567EF4">
      <w:pPr>
        <w:bidi/>
        <w:rPr>
          <w:rFonts w:cs="B Badr"/>
          <w:sz w:val="32"/>
          <w:szCs w:val="32"/>
          <w:rtl/>
        </w:rPr>
      </w:pPr>
      <w:r>
        <w:rPr>
          <w:rFonts w:cs="B Badr" w:hint="cs"/>
          <w:sz w:val="32"/>
          <w:szCs w:val="32"/>
          <w:rtl/>
        </w:rPr>
        <w:t>محقق نائینی می فرماید: نسبت به إجزاء در باب عبادات، علما اجماع دارند بر اینکه هر عبادتی که مطابق حجت شر</w:t>
      </w:r>
      <w:r w:rsidR="0006112F">
        <w:rPr>
          <w:rFonts w:cs="B Badr" w:hint="cs"/>
          <w:sz w:val="32"/>
          <w:szCs w:val="32"/>
          <w:rtl/>
        </w:rPr>
        <w:t xml:space="preserve">عی انجام شود، اعاده و قضا ندارد؛ اما در احکام وضعی، می فرماید: احکام </w:t>
      </w:r>
      <w:r w:rsidR="0006112F" w:rsidRPr="001616E9">
        <w:rPr>
          <w:rFonts w:cs="B Badr" w:hint="cs"/>
          <w:sz w:val="32"/>
          <w:szCs w:val="32"/>
          <w:rtl/>
        </w:rPr>
        <w:t>وضعی بر دو قسم اند:</w:t>
      </w:r>
    </w:p>
    <w:p w:rsidR="0006112F" w:rsidRPr="001616E9" w:rsidRDefault="001616E9" w:rsidP="0006112F">
      <w:pPr>
        <w:bidi/>
        <w:rPr>
          <w:rFonts w:cs="B Badr"/>
          <w:sz w:val="32"/>
          <w:szCs w:val="32"/>
          <w:rtl/>
        </w:rPr>
      </w:pPr>
      <w:r w:rsidRPr="001616E9">
        <w:rPr>
          <w:rFonts w:cs="B Badr" w:hint="cs"/>
          <w:sz w:val="32"/>
          <w:szCs w:val="32"/>
          <w:rtl/>
        </w:rPr>
        <w:t>1.حکمی که موضوع</w:t>
      </w:r>
      <w:r w:rsidR="0006112F" w:rsidRPr="001616E9">
        <w:rPr>
          <w:rFonts w:cs="B Badr" w:hint="cs"/>
          <w:sz w:val="32"/>
          <w:szCs w:val="32"/>
          <w:rtl/>
        </w:rPr>
        <w:t>ش تا زمان کشف خلاف و بعد از آن نیز موجود است.</w:t>
      </w:r>
    </w:p>
    <w:p w:rsidR="0006112F" w:rsidRDefault="0006112F" w:rsidP="001616E9">
      <w:pPr>
        <w:tabs>
          <w:tab w:val="left" w:pos="5609"/>
        </w:tabs>
        <w:bidi/>
        <w:rPr>
          <w:rFonts w:cs="B Badr"/>
          <w:sz w:val="32"/>
          <w:szCs w:val="32"/>
          <w:rtl/>
        </w:rPr>
      </w:pPr>
      <w:r w:rsidRPr="001616E9">
        <w:rPr>
          <w:rFonts w:cs="B Badr" w:hint="cs"/>
          <w:sz w:val="32"/>
          <w:szCs w:val="32"/>
          <w:rtl/>
        </w:rPr>
        <w:t>2.</w:t>
      </w:r>
      <w:r w:rsidR="001616E9" w:rsidRPr="001616E9">
        <w:rPr>
          <w:rFonts w:cs="B Badr" w:hint="cs"/>
          <w:sz w:val="32"/>
          <w:szCs w:val="32"/>
          <w:rtl/>
        </w:rPr>
        <w:t>حکمی که موضوعش</w:t>
      </w:r>
      <w:r w:rsidR="001616E9">
        <w:rPr>
          <w:rFonts w:cs="B Badr" w:hint="cs"/>
          <w:sz w:val="32"/>
          <w:szCs w:val="32"/>
          <w:rtl/>
        </w:rPr>
        <w:t xml:space="preserve"> با کشف خلاف از بین می رود.</w:t>
      </w:r>
    </w:p>
    <w:p w:rsidR="001616E9" w:rsidRDefault="001616E9" w:rsidP="001616E9">
      <w:pPr>
        <w:tabs>
          <w:tab w:val="left" w:pos="5609"/>
        </w:tabs>
        <w:bidi/>
        <w:rPr>
          <w:rFonts w:cs="B Badr"/>
          <w:sz w:val="32"/>
          <w:szCs w:val="32"/>
          <w:rtl/>
        </w:rPr>
      </w:pPr>
      <w:r>
        <w:rPr>
          <w:rFonts w:cs="B Badr" w:hint="cs"/>
          <w:sz w:val="32"/>
          <w:szCs w:val="32"/>
          <w:rtl/>
        </w:rPr>
        <w:t>قسم اول مانند اینکه: شخصی</w:t>
      </w:r>
      <w:r w:rsidR="00933D17">
        <w:rPr>
          <w:rFonts w:cs="B Badr" w:hint="cs"/>
          <w:sz w:val="32"/>
          <w:szCs w:val="32"/>
          <w:rtl/>
        </w:rPr>
        <w:t xml:space="preserve"> اجتهاداً یا تقلیداً،</w:t>
      </w:r>
      <w:r>
        <w:rPr>
          <w:rFonts w:cs="B Badr" w:hint="cs"/>
          <w:sz w:val="32"/>
          <w:szCs w:val="32"/>
          <w:rtl/>
        </w:rPr>
        <w:t xml:space="preserve"> با زنی با عقد فارسی ازدواج کند یا خانه ای را معاطاتی بخرد یا گوسفندی را با چاقوی غیر آهنی ذبح کند یا... و سپس کشف خلاف شود(اجتهادی یا تقلیدی یعنی مجتهد</w:t>
      </w:r>
      <w:r w:rsidR="00FC1B30">
        <w:rPr>
          <w:rFonts w:cs="B Badr" w:hint="cs"/>
          <w:sz w:val="32"/>
          <w:szCs w:val="32"/>
          <w:rtl/>
        </w:rPr>
        <w:t>،</w:t>
      </w:r>
      <w:r>
        <w:rPr>
          <w:rFonts w:cs="B Badr" w:hint="cs"/>
          <w:sz w:val="32"/>
          <w:szCs w:val="32"/>
          <w:rtl/>
        </w:rPr>
        <w:t xml:space="preserve"> فتوایش عوض شود</w:t>
      </w:r>
      <w:r w:rsidR="00FC1B30">
        <w:rPr>
          <w:rFonts w:cs="B Badr" w:hint="cs"/>
          <w:sz w:val="32"/>
          <w:szCs w:val="32"/>
          <w:rtl/>
        </w:rPr>
        <w:t>؛</w:t>
      </w:r>
      <w:r>
        <w:rPr>
          <w:rFonts w:cs="B Badr" w:hint="cs"/>
          <w:sz w:val="32"/>
          <w:szCs w:val="32"/>
          <w:rtl/>
        </w:rPr>
        <w:t xml:space="preserve"> یا مقلد</w:t>
      </w:r>
      <w:r w:rsidR="00FC1B30">
        <w:rPr>
          <w:rFonts w:cs="B Badr" w:hint="cs"/>
          <w:sz w:val="32"/>
          <w:szCs w:val="32"/>
          <w:rtl/>
        </w:rPr>
        <w:t>،</w:t>
      </w:r>
      <w:r>
        <w:rPr>
          <w:rFonts w:cs="B Badr" w:hint="cs"/>
          <w:sz w:val="32"/>
          <w:szCs w:val="32"/>
          <w:rtl/>
        </w:rPr>
        <w:t xml:space="preserve"> مرجعش را تغییر بدهد)</w:t>
      </w:r>
      <w:r w:rsidR="00FC1B30">
        <w:rPr>
          <w:rFonts w:cs="B Badr" w:hint="cs"/>
          <w:sz w:val="32"/>
          <w:szCs w:val="32"/>
          <w:rtl/>
        </w:rPr>
        <w:t xml:space="preserve"> و آن زن یا خانه یا گوشت گوسفند(یعنی موضوع)،</w:t>
      </w:r>
      <w:r>
        <w:rPr>
          <w:rFonts w:cs="B Badr" w:hint="cs"/>
          <w:sz w:val="32"/>
          <w:szCs w:val="32"/>
          <w:rtl/>
        </w:rPr>
        <w:t xml:space="preserve"> موجود است.</w:t>
      </w:r>
    </w:p>
    <w:p w:rsidR="001616E9" w:rsidRDefault="001616E9" w:rsidP="001616E9">
      <w:pPr>
        <w:tabs>
          <w:tab w:val="left" w:pos="5609"/>
        </w:tabs>
        <w:bidi/>
        <w:rPr>
          <w:rFonts w:cs="B Badr"/>
          <w:sz w:val="32"/>
          <w:szCs w:val="32"/>
          <w:rtl/>
        </w:rPr>
      </w:pPr>
      <w:r>
        <w:rPr>
          <w:rFonts w:cs="B Badr" w:hint="cs"/>
          <w:sz w:val="32"/>
          <w:szCs w:val="32"/>
          <w:rtl/>
        </w:rPr>
        <w:t>قسم دوم مانند اینکه</w:t>
      </w:r>
      <w:r w:rsidR="00FC1B30">
        <w:rPr>
          <w:rFonts w:cs="B Badr" w:hint="cs"/>
          <w:sz w:val="32"/>
          <w:szCs w:val="32"/>
          <w:rtl/>
        </w:rPr>
        <w:t>: غذایی را معاطاتی بخرد و بخورد-با اعتقاد به اینکه عقد معاطاتی صحیح است-و سپس کشف خلاف شود(اجتهاداً یا تقلیداً) و غذا(یعنی موضوع)، موجود نیست.</w:t>
      </w:r>
    </w:p>
    <w:p w:rsidR="00327AF1" w:rsidRDefault="003F6AE5" w:rsidP="00327AF1">
      <w:pPr>
        <w:tabs>
          <w:tab w:val="left" w:pos="5609"/>
        </w:tabs>
        <w:bidi/>
        <w:rPr>
          <w:rFonts w:cs="B Badr"/>
          <w:sz w:val="32"/>
          <w:szCs w:val="32"/>
          <w:rtl/>
        </w:rPr>
      </w:pPr>
      <w:r>
        <w:rPr>
          <w:rFonts w:cs="B Badr" w:hint="cs"/>
          <w:sz w:val="32"/>
          <w:szCs w:val="32"/>
          <w:rtl/>
        </w:rPr>
        <w:t>آنگاه</w:t>
      </w:r>
      <w:r w:rsidR="00327AF1">
        <w:rPr>
          <w:rFonts w:cs="B Badr" w:hint="cs"/>
          <w:sz w:val="32"/>
          <w:szCs w:val="32"/>
          <w:rtl/>
        </w:rPr>
        <w:t xml:space="preserve"> می فرماید: قسم اول، یقینا از محل اجماع خارج است؛ ولی قسم دوم، محل تأمل است.</w:t>
      </w:r>
    </w:p>
    <w:p w:rsidR="00327AF1" w:rsidRPr="005B3856" w:rsidRDefault="00327AF1" w:rsidP="00327AF1">
      <w:pPr>
        <w:tabs>
          <w:tab w:val="left" w:pos="5609"/>
        </w:tabs>
        <w:bidi/>
        <w:rPr>
          <w:rFonts w:cs="B Badr"/>
          <w:color w:val="0070C0"/>
          <w:sz w:val="32"/>
          <w:szCs w:val="32"/>
          <w:rtl/>
        </w:rPr>
      </w:pPr>
      <w:r w:rsidRPr="005B3856">
        <w:rPr>
          <w:rFonts w:cs="B Badr" w:hint="cs"/>
          <w:color w:val="0070C0"/>
          <w:sz w:val="32"/>
          <w:szCs w:val="32"/>
          <w:rtl/>
        </w:rPr>
        <w:lastRenderedPageBreak/>
        <w:t>اشکال محقق خوئی بر محقق نائینی</w:t>
      </w:r>
    </w:p>
    <w:p w:rsidR="00327AF1" w:rsidRDefault="00327AF1" w:rsidP="005B1DEB">
      <w:pPr>
        <w:tabs>
          <w:tab w:val="left" w:pos="5609"/>
        </w:tabs>
        <w:bidi/>
        <w:rPr>
          <w:rFonts w:cs="B Badr"/>
          <w:sz w:val="32"/>
          <w:szCs w:val="32"/>
          <w:rtl/>
        </w:rPr>
      </w:pPr>
      <w:r>
        <w:rPr>
          <w:rFonts w:cs="B Badr" w:hint="cs"/>
          <w:sz w:val="32"/>
          <w:szCs w:val="32"/>
          <w:rtl/>
        </w:rPr>
        <w:t xml:space="preserve">فرمایش استاد(محقق نائینی) در رابطه با عبادات </w:t>
      </w:r>
      <w:r w:rsidR="005B1DEB">
        <w:rPr>
          <w:rFonts w:cs="B Badr" w:hint="cs"/>
          <w:sz w:val="32"/>
          <w:szCs w:val="32"/>
          <w:rtl/>
        </w:rPr>
        <w:t>به</w:t>
      </w:r>
      <w:r>
        <w:rPr>
          <w:rFonts w:cs="B Badr" w:hint="cs"/>
          <w:sz w:val="32"/>
          <w:szCs w:val="32"/>
          <w:rtl/>
        </w:rPr>
        <w:t xml:space="preserve"> اینکه </w:t>
      </w:r>
      <w:r w:rsidR="00447CD4">
        <w:rPr>
          <w:rFonts w:cs="B Badr" w:hint="cs"/>
          <w:sz w:val="32"/>
          <w:szCs w:val="32"/>
          <w:rtl/>
        </w:rPr>
        <w:t>«</w:t>
      </w:r>
      <w:r>
        <w:rPr>
          <w:rFonts w:cs="B Badr" w:hint="cs"/>
          <w:sz w:val="32"/>
          <w:szCs w:val="32"/>
          <w:rtl/>
        </w:rPr>
        <w:t>اجماع</w:t>
      </w:r>
      <w:r w:rsidR="00447CD4">
        <w:rPr>
          <w:rFonts w:cs="B Badr" w:hint="cs"/>
          <w:sz w:val="32"/>
          <w:szCs w:val="32"/>
          <w:rtl/>
        </w:rPr>
        <w:t>،</w:t>
      </w:r>
      <w:r>
        <w:rPr>
          <w:rFonts w:cs="B Badr" w:hint="cs"/>
          <w:sz w:val="32"/>
          <w:szCs w:val="32"/>
          <w:rtl/>
        </w:rPr>
        <w:t xml:space="preserve"> دلالت دارد بر </w:t>
      </w:r>
      <w:r w:rsidR="005B1DEB">
        <w:rPr>
          <w:rFonts w:cs="B Badr" w:hint="cs"/>
          <w:sz w:val="32"/>
          <w:szCs w:val="32"/>
          <w:rtl/>
        </w:rPr>
        <w:t>إجزاء نسبت به تمام عبادات</w:t>
      </w:r>
      <w:r w:rsidR="00447CD4">
        <w:rPr>
          <w:rFonts w:cs="B Badr" w:hint="cs"/>
          <w:sz w:val="32"/>
          <w:szCs w:val="32"/>
          <w:rtl/>
        </w:rPr>
        <w:t>»</w:t>
      </w:r>
      <w:r w:rsidR="005B1DEB">
        <w:rPr>
          <w:rFonts w:cs="B Badr" w:hint="cs"/>
          <w:sz w:val="32"/>
          <w:szCs w:val="32"/>
          <w:rtl/>
        </w:rPr>
        <w:t>، محل تأمل و اشکال است</w:t>
      </w:r>
      <w:r w:rsidR="00447CD4">
        <w:rPr>
          <w:rFonts w:cs="B Badr" w:hint="cs"/>
          <w:sz w:val="32"/>
          <w:szCs w:val="32"/>
          <w:rtl/>
        </w:rPr>
        <w:t>؛</w:t>
      </w:r>
      <w:r w:rsidR="005B1DEB">
        <w:rPr>
          <w:rFonts w:cs="B Badr" w:hint="cs"/>
          <w:sz w:val="32"/>
          <w:szCs w:val="32"/>
          <w:rtl/>
        </w:rPr>
        <w:t xml:space="preserve"> زیرا:</w:t>
      </w:r>
    </w:p>
    <w:p w:rsidR="005B1DEB" w:rsidRDefault="005B1DEB" w:rsidP="005B1DEB">
      <w:pPr>
        <w:tabs>
          <w:tab w:val="left" w:pos="5609"/>
        </w:tabs>
        <w:bidi/>
        <w:rPr>
          <w:rFonts w:cs="B Badr"/>
          <w:sz w:val="32"/>
          <w:szCs w:val="32"/>
          <w:rtl/>
        </w:rPr>
      </w:pPr>
      <w:r>
        <w:rPr>
          <w:rFonts w:cs="B Badr" w:hint="cs"/>
          <w:sz w:val="32"/>
          <w:szCs w:val="32"/>
          <w:rtl/>
        </w:rPr>
        <w:t>اولاً: مسأله ی أجزاء از مسائل مستحدثه است.</w:t>
      </w:r>
    </w:p>
    <w:p w:rsidR="005B1DEB" w:rsidRDefault="005B1DEB" w:rsidP="005B1DEB">
      <w:pPr>
        <w:tabs>
          <w:tab w:val="left" w:pos="5609"/>
        </w:tabs>
        <w:bidi/>
        <w:rPr>
          <w:rFonts w:cs="B Badr"/>
          <w:sz w:val="32"/>
          <w:szCs w:val="32"/>
          <w:rtl/>
        </w:rPr>
      </w:pPr>
      <w:r>
        <w:rPr>
          <w:rFonts w:cs="B Badr" w:hint="cs"/>
          <w:sz w:val="32"/>
          <w:szCs w:val="32"/>
          <w:rtl/>
        </w:rPr>
        <w:t>ثانیاً: عده ی زیاد</w:t>
      </w:r>
      <w:r w:rsidR="00447CD4">
        <w:rPr>
          <w:rFonts w:cs="B Badr" w:hint="cs"/>
          <w:sz w:val="32"/>
          <w:szCs w:val="32"/>
          <w:rtl/>
        </w:rPr>
        <w:t>ی از علما قائل اند به عدم إجزاء(</w:t>
      </w:r>
      <w:r>
        <w:rPr>
          <w:rFonts w:cs="B Badr" w:hint="cs"/>
          <w:sz w:val="32"/>
          <w:szCs w:val="32"/>
          <w:rtl/>
        </w:rPr>
        <w:t xml:space="preserve">اگر چه عده </w:t>
      </w:r>
      <w:r w:rsidR="00447CD4">
        <w:rPr>
          <w:rFonts w:cs="B Badr" w:hint="cs"/>
          <w:sz w:val="32"/>
          <w:szCs w:val="32"/>
          <w:rtl/>
        </w:rPr>
        <w:t>ی زیادی هم قائل اند به إجزاء)</w:t>
      </w:r>
      <w:r>
        <w:rPr>
          <w:rFonts w:cs="B Badr" w:hint="cs"/>
          <w:sz w:val="32"/>
          <w:szCs w:val="32"/>
          <w:rtl/>
        </w:rPr>
        <w:t>.</w:t>
      </w:r>
    </w:p>
    <w:p w:rsidR="005B1DEB" w:rsidRDefault="005B1DEB" w:rsidP="005B1DEB">
      <w:pPr>
        <w:tabs>
          <w:tab w:val="left" w:pos="5609"/>
        </w:tabs>
        <w:bidi/>
        <w:rPr>
          <w:rFonts w:cs="B Badr"/>
          <w:sz w:val="32"/>
          <w:szCs w:val="32"/>
          <w:rtl/>
        </w:rPr>
      </w:pPr>
      <w:r>
        <w:rPr>
          <w:rFonts w:cs="B Badr" w:hint="cs"/>
          <w:sz w:val="32"/>
          <w:szCs w:val="32"/>
          <w:rtl/>
        </w:rPr>
        <w:t>ثالثاً: قول به إجزاء، بخاطر دلیل مستقلی است که دالّ بر عدم وجوب اعاده و قضاست؛ نه اینکه از درون حکم ظاهری</w:t>
      </w:r>
      <w:r w:rsidR="005B3856">
        <w:rPr>
          <w:rFonts w:cs="B Badr" w:hint="cs"/>
          <w:sz w:val="32"/>
          <w:szCs w:val="32"/>
          <w:rtl/>
        </w:rPr>
        <w:t>،</w:t>
      </w:r>
      <w:r>
        <w:rPr>
          <w:rFonts w:cs="B Badr" w:hint="cs"/>
          <w:sz w:val="32"/>
          <w:szCs w:val="32"/>
          <w:rtl/>
        </w:rPr>
        <w:t xml:space="preserve"> قائل به إجزاء باشند.</w:t>
      </w:r>
    </w:p>
    <w:p w:rsidR="005B1DEB" w:rsidRDefault="005B1DEB" w:rsidP="005B1DEB">
      <w:pPr>
        <w:tabs>
          <w:tab w:val="left" w:pos="5609"/>
        </w:tabs>
        <w:bidi/>
        <w:rPr>
          <w:rFonts w:cs="B Badr"/>
          <w:sz w:val="32"/>
          <w:szCs w:val="32"/>
          <w:rtl/>
        </w:rPr>
      </w:pPr>
      <w:r>
        <w:rPr>
          <w:rFonts w:cs="B Badr" w:hint="cs"/>
          <w:sz w:val="32"/>
          <w:szCs w:val="32"/>
          <w:rtl/>
        </w:rPr>
        <w:t>رابعاً: اجماع منقول، حجت نیست.</w:t>
      </w:r>
    </w:p>
    <w:p w:rsidR="00447CD4" w:rsidRDefault="003B0AE8" w:rsidP="005B3856">
      <w:pPr>
        <w:tabs>
          <w:tab w:val="left" w:pos="5609"/>
        </w:tabs>
        <w:bidi/>
        <w:rPr>
          <w:rFonts w:cs="B Badr"/>
          <w:sz w:val="32"/>
          <w:szCs w:val="32"/>
          <w:rtl/>
        </w:rPr>
      </w:pPr>
      <w:r>
        <w:rPr>
          <w:rFonts w:cs="B Badr" w:hint="cs"/>
          <w:sz w:val="32"/>
          <w:szCs w:val="32"/>
          <w:rtl/>
          <w:lang w:bidi="fa-IR"/>
        </w:rPr>
        <w:t xml:space="preserve">سپس می فرماید: </w:t>
      </w:r>
      <w:r>
        <w:rPr>
          <w:rFonts w:cs="B Badr" w:hint="cs"/>
          <w:sz w:val="32"/>
          <w:szCs w:val="32"/>
          <w:rtl/>
        </w:rPr>
        <w:t>اما فرمایش ایشان</w:t>
      </w:r>
      <w:r w:rsidR="00E315B4">
        <w:rPr>
          <w:rFonts w:cs="B Badr" w:hint="cs"/>
          <w:sz w:val="32"/>
          <w:szCs w:val="32"/>
          <w:rtl/>
        </w:rPr>
        <w:t xml:space="preserve"> </w:t>
      </w:r>
      <w:r w:rsidR="00447CD4">
        <w:rPr>
          <w:rFonts w:cs="B Badr" w:hint="cs"/>
          <w:sz w:val="32"/>
          <w:szCs w:val="32"/>
          <w:rtl/>
        </w:rPr>
        <w:t xml:space="preserve">نسبت به </w:t>
      </w:r>
      <w:r w:rsidR="00E315B4">
        <w:rPr>
          <w:rFonts w:cs="B Badr" w:hint="cs"/>
          <w:sz w:val="32"/>
          <w:szCs w:val="32"/>
          <w:rtl/>
        </w:rPr>
        <w:t>قسم اول(بقاء موضوع)</w:t>
      </w:r>
      <w:r w:rsidR="005B3856">
        <w:rPr>
          <w:rFonts w:cs="B Badr" w:hint="cs"/>
          <w:sz w:val="32"/>
          <w:szCs w:val="32"/>
          <w:rtl/>
        </w:rPr>
        <w:t xml:space="preserve"> یعنی عدم إجزاء،</w:t>
      </w:r>
      <w:r w:rsidR="00E315B4">
        <w:rPr>
          <w:rFonts w:cs="B Badr" w:hint="cs"/>
          <w:sz w:val="32"/>
          <w:szCs w:val="32"/>
          <w:rtl/>
        </w:rPr>
        <w:t xml:space="preserve"> متین است.</w:t>
      </w:r>
    </w:p>
    <w:p w:rsidR="00E315B4" w:rsidRDefault="00E315B4" w:rsidP="00E315B4">
      <w:pPr>
        <w:tabs>
          <w:tab w:val="left" w:pos="5609"/>
        </w:tabs>
        <w:bidi/>
        <w:rPr>
          <w:rFonts w:cs="B Badr"/>
          <w:sz w:val="32"/>
          <w:szCs w:val="32"/>
          <w:rtl/>
        </w:rPr>
      </w:pPr>
      <w:r>
        <w:rPr>
          <w:rFonts w:cs="B Badr" w:hint="cs"/>
          <w:sz w:val="32"/>
          <w:szCs w:val="32"/>
          <w:rtl/>
        </w:rPr>
        <w:t xml:space="preserve">اما قسم دوم که ایشان قائل به تردّد شده، </w:t>
      </w:r>
      <w:r w:rsidR="005B3856">
        <w:rPr>
          <w:rFonts w:cs="B Badr" w:hint="cs"/>
          <w:sz w:val="32"/>
          <w:szCs w:val="32"/>
          <w:rtl/>
        </w:rPr>
        <w:t xml:space="preserve">تردّد ایشان </w:t>
      </w:r>
      <w:r>
        <w:rPr>
          <w:rFonts w:cs="B Badr" w:hint="cs"/>
          <w:sz w:val="32"/>
          <w:szCs w:val="32"/>
          <w:rtl/>
        </w:rPr>
        <w:t>وجهی ندارد زیرا از نظر إجزاء و عدم إجزاء، بین قسم اول و دوم، تفاوتی وجود ندارد؛ و بقاء و عدم بقاء</w:t>
      </w:r>
      <w:r w:rsidR="005B3856">
        <w:rPr>
          <w:rFonts w:cs="B Badr" w:hint="cs"/>
          <w:sz w:val="32"/>
          <w:szCs w:val="32"/>
          <w:rtl/>
        </w:rPr>
        <w:t>ِ</w:t>
      </w:r>
      <w:r>
        <w:rPr>
          <w:rFonts w:cs="B Badr" w:hint="cs"/>
          <w:sz w:val="32"/>
          <w:szCs w:val="32"/>
          <w:rtl/>
        </w:rPr>
        <w:t xml:space="preserve"> موضوع، موجب تفاوت در حکم نمی شود؛ آری تنها تفاوت آنها این است که در قسم دوم، مالی که تلف شده، باید تدارک شود.</w:t>
      </w:r>
      <w:r w:rsidR="003B0AE8">
        <w:rPr>
          <w:rStyle w:val="FootnoteReference"/>
          <w:rFonts w:cs="B Badr"/>
          <w:sz w:val="32"/>
          <w:szCs w:val="32"/>
          <w:rtl/>
        </w:rPr>
        <w:footnoteReference w:id="2"/>
      </w:r>
    </w:p>
    <w:p w:rsidR="00963267" w:rsidRPr="00963267" w:rsidRDefault="005A6D95" w:rsidP="00963267">
      <w:pPr>
        <w:tabs>
          <w:tab w:val="left" w:pos="5609"/>
        </w:tabs>
        <w:bidi/>
        <w:rPr>
          <w:rFonts w:cs="B Badr"/>
          <w:sz w:val="32"/>
          <w:szCs w:val="32"/>
          <w:rtl/>
        </w:rPr>
      </w:pPr>
      <w:r>
        <w:rPr>
          <w:rFonts w:cs="B Badr" w:hint="cs"/>
          <w:color w:val="0070C0"/>
          <w:sz w:val="32"/>
          <w:szCs w:val="32"/>
          <w:rtl/>
        </w:rPr>
        <w:t>[</w:t>
      </w:r>
      <w:r w:rsidR="005B3856" w:rsidRPr="005B3856">
        <w:rPr>
          <w:rFonts w:cs="B Badr" w:hint="cs"/>
          <w:color w:val="0070C0"/>
          <w:sz w:val="32"/>
          <w:szCs w:val="32"/>
          <w:rtl/>
        </w:rPr>
        <w:t>استاد</w:t>
      </w:r>
      <w:r>
        <w:rPr>
          <w:rFonts w:cs="B Badr" w:hint="cs"/>
          <w:color w:val="0070C0"/>
          <w:sz w:val="32"/>
          <w:szCs w:val="32"/>
          <w:rtl/>
        </w:rPr>
        <w:t xml:space="preserve">:] </w:t>
      </w:r>
      <w:r w:rsidR="00E315B4">
        <w:rPr>
          <w:rFonts w:cs="B Badr" w:hint="cs"/>
          <w:sz w:val="32"/>
          <w:szCs w:val="32"/>
          <w:rtl/>
        </w:rPr>
        <w:t>طبق فرمایش محقق خوئی، تمام تفصیلات در باب إجزاء، غلط است زیرا ادله ی باب إجزاء بر پایه ی طریقیت، به هیچ وجه بر مسأله ی اعاده و قضا دلالت ندارند</w:t>
      </w:r>
      <w:r w:rsidR="005B3856" w:rsidRPr="005B3856">
        <w:rPr>
          <w:rFonts w:cs="B Badr" w:hint="cs"/>
          <w:sz w:val="32"/>
          <w:szCs w:val="32"/>
          <w:rtl/>
        </w:rPr>
        <w:t xml:space="preserve"> نه اثباتاً و نه نفیاً</w:t>
      </w:r>
      <w:r w:rsidR="00E315B4">
        <w:rPr>
          <w:rFonts w:cs="B Badr" w:hint="cs"/>
          <w:sz w:val="32"/>
          <w:szCs w:val="32"/>
          <w:rtl/>
        </w:rPr>
        <w:t>؛ و اگر بخواهیم مسأله ی إجزاء را از داخل این مسأله</w:t>
      </w:r>
      <w:r w:rsidR="005B3856">
        <w:rPr>
          <w:rFonts w:cs="B Badr" w:hint="cs"/>
          <w:sz w:val="32"/>
          <w:szCs w:val="32"/>
          <w:rtl/>
        </w:rPr>
        <w:t>،</w:t>
      </w:r>
      <w:r w:rsidR="00E315B4">
        <w:rPr>
          <w:rFonts w:cs="B Badr" w:hint="cs"/>
          <w:sz w:val="32"/>
          <w:szCs w:val="32"/>
          <w:rtl/>
        </w:rPr>
        <w:t xml:space="preserve"> بعنوان لازمه ی حکم ظاهری اثبات کنیم، دون اثباته خرط القتاد.</w:t>
      </w:r>
      <w:r w:rsidR="009712C3">
        <w:rPr>
          <w:rFonts w:cs="B Badr" w:hint="cs"/>
          <w:sz w:val="32"/>
          <w:szCs w:val="32"/>
          <w:rtl/>
        </w:rPr>
        <w:t>اما</w:t>
      </w:r>
      <w:r w:rsidR="00CC082A">
        <w:rPr>
          <w:rFonts w:cs="B Badr" w:hint="cs"/>
          <w:sz w:val="32"/>
          <w:szCs w:val="32"/>
          <w:rtl/>
        </w:rPr>
        <w:t xml:space="preserve"> إجزاء</w:t>
      </w:r>
      <w:r w:rsidR="009712C3">
        <w:rPr>
          <w:rFonts w:cs="B Badr" w:hint="cs"/>
          <w:sz w:val="32"/>
          <w:szCs w:val="32"/>
          <w:rtl/>
        </w:rPr>
        <w:t xml:space="preserve"> بحسب ادله ی خارجی</w:t>
      </w:r>
      <w:r w:rsidR="00CC082A">
        <w:rPr>
          <w:rFonts w:cs="B Badr" w:hint="cs"/>
          <w:sz w:val="32"/>
          <w:szCs w:val="32"/>
          <w:rtl/>
        </w:rPr>
        <w:t>، ربطی</w:t>
      </w:r>
      <w:r w:rsidR="009712C3">
        <w:rPr>
          <w:rFonts w:cs="B Badr" w:hint="cs"/>
          <w:sz w:val="32"/>
          <w:szCs w:val="32"/>
          <w:rtl/>
        </w:rPr>
        <w:t xml:space="preserve"> به </w:t>
      </w:r>
      <w:r w:rsidR="008C18EB">
        <w:rPr>
          <w:rFonts w:cs="B Badr" w:hint="cs"/>
          <w:sz w:val="32"/>
          <w:szCs w:val="32"/>
          <w:rtl/>
        </w:rPr>
        <w:t>مانحن فیه(یعنی حکم ظاهری) ندارد</w:t>
      </w:r>
      <w:r w:rsidR="008C18EB" w:rsidRPr="00963267">
        <w:rPr>
          <w:rFonts w:cs="B Badr" w:hint="cs"/>
          <w:color w:val="FF0000"/>
          <w:sz w:val="32"/>
          <w:szCs w:val="32"/>
          <w:rtl/>
        </w:rPr>
        <w:t>.</w:t>
      </w:r>
      <w:r w:rsidR="00963267" w:rsidRPr="00963267">
        <w:rPr>
          <w:rFonts w:cs="B Badr" w:hint="cs"/>
          <w:color w:val="FF0000"/>
          <w:sz w:val="32"/>
          <w:szCs w:val="32"/>
          <w:rtl/>
        </w:rPr>
        <w:t>(پایان)</w:t>
      </w:r>
      <w:bookmarkStart w:id="0" w:name="_GoBack"/>
      <w:bookmarkEnd w:id="0"/>
    </w:p>
    <w:sectPr w:rsidR="00963267" w:rsidRPr="00963267" w:rsidSect="00050628">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0EE" w:rsidRDefault="006D10EE" w:rsidP="004742D5">
      <w:r>
        <w:separator/>
      </w:r>
    </w:p>
  </w:endnote>
  <w:endnote w:type="continuationSeparator" w:id="0">
    <w:p w:rsidR="006D10EE" w:rsidRDefault="006D10EE" w:rsidP="0047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0EE" w:rsidRDefault="006D10EE" w:rsidP="004742D5">
      <w:r>
        <w:separator/>
      </w:r>
    </w:p>
  </w:footnote>
  <w:footnote w:type="continuationSeparator" w:id="0">
    <w:p w:rsidR="006D10EE" w:rsidRDefault="006D10EE" w:rsidP="004742D5">
      <w:r>
        <w:continuationSeparator/>
      </w:r>
    </w:p>
  </w:footnote>
  <w:footnote w:id="1">
    <w:p w:rsidR="00050628" w:rsidRPr="003B0AE8" w:rsidRDefault="00050628" w:rsidP="003B0AE8">
      <w:pPr>
        <w:pStyle w:val="FootnoteText"/>
        <w:bidi/>
        <w:jc w:val="both"/>
        <w:rPr>
          <w:rFonts w:cs="B Badr"/>
          <w:sz w:val="24"/>
          <w:szCs w:val="24"/>
          <w:rtl/>
          <w:lang w:bidi="fa-IR"/>
        </w:rPr>
      </w:pPr>
      <w:r w:rsidRPr="003B0AE8">
        <w:rPr>
          <w:rStyle w:val="FootnoteReference"/>
          <w:rFonts w:cs="B Badr"/>
          <w:sz w:val="24"/>
          <w:szCs w:val="24"/>
        </w:rPr>
        <w:footnoteRef/>
      </w:r>
      <w:r w:rsidRPr="003B0AE8">
        <w:rPr>
          <w:rFonts w:cs="B Badr"/>
          <w:sz w:val="24"/>
          <w:szCs w:val="24"/>
        </w:rPr>
        <w:t xml:space="preserve"> </w:t>
      </w:r>
      <w:r w:rsidR="00933D17" w:rsidRPr="003B0AE8">
        <w:rPr>
          <w:rFonts w:cs="B Badr" w:hint="cs"/>
          <w:sz w:val="24"/>
          <w:szCs w:val="24"/>
          <w:rtl/>
        </w:rPr>
        <w:t>. خطبة</w:t>
      </w:r>
      <w:r w:rsidR="00933D17" w:rsidRPr="003B0AE8">
        <w:rPr>
          <w:rFonts w:cs="B Badr"/>
          <w:sz w:val="24"/>
          <w:szCs w:val="24"/>
          <w:rtl/>
        </w:rPr>
        <w:t xml:space="preserve"> </w:t>
      </w:r>
      <w:r w:rsidR="00933D17" w:rsidRPr="003B0AE8">
        <w:rPr>
          <w:rFonts w:cs="B Badr" w:hint="cs"/>
          <w:sz w:val="24"/>
          <w:szCs w:val="24"/>
          <w:rtl/>
        </w:rPr>
        <w:t>لأمير</w:t>
      </w:r>
      <w:r w:rsidR="00933D17" w:rsidRPr="003B0AE8">
        <w:rPr>
          <w:rFonts w:cs="B Badr"/>
          <w:sz w:val="24"/>
          <w:szCs w:val="24"/>
          <w:rtl/>
        </w:rPr>
        <w:t xml:space="preserve"> </w:t>
      </w:r>
      <w:r w:rsidR="00933D17" w:rsidRPr="003B0AE8">
        <w:rPr>
          <w:rFonts w:cs="B Badr" w:hint="cs"/>
          <w:sz w:val="24"/>
          <w:szCs w:val="24"/>
          <w:rtl/>
        </w:rPr>
        <w:t>المؤمنين</w:t>
      </w:r>
      <w:r w:rsidR="00933D17" w:rsidRPr="003B0AE8">
        <w:rPr>
          <w:rFonts w:cs="B Badr"/>
          <w:sz w:val="24"/>
          <w:szCs w:val="24"/>
          <w:rtl/>
        </w:rPr>
        <w:t xml:space="preserve"> </w:t>
      </w:r>
      <w:r w:rsidR="00933D17" w:rsidRPr="003B0AE8">
        <w:rPr>
          <w:rFonts w:cs="B Badr" w:hint="cs"/>
          <w:sz w:val="24"/>
          <w:szCs w:val="24"/>
          <w:rtl/>
        </w:rPr>
        <w:t>ع</w:t>
      </w:r>
      <w:r w:rsidR="00933D17" w:rsidRPr="003B0AE8">
        <w:rPr>
          <w:rFonts w:cs="B Badr"/>
          <w:sz w:val="24"/>
          <w:szCs w:val="24"/>
          <w:rtl/>
        </w:rPr>
        <w:t xml:space="preserve"> </w:t>
      </w:r>
      <w:r w:rsidR="00933D17" w:rsidRPr="003B0AE8">
        <w:rPr>
          <w:rFonts w:cs="B Badr" w:hint="cs"/>
          <w:sz w:val="24"/>
          <w:szCs w:val="24"/>
          <w:rtl/>
        </w:rPr>
        <w:t>و</w:t>
      </w:r>
      <w:r w:rsidR="00933D17" w:rsidRPr="003B0AE8">
        <w:rPr>
          <w:rFonts w:cs="B Badr"/>
          <w:sz w:val="24"/>
          <w:szCs w:val="24"/>
          <w:rtl/>
        </w:rPr>
        <w:t xml:space="preserve"> </w:t>
      </w:r>
      <w:r w:rsidR="00933D17" w:rsidRPr="003B0AE8">
        <w:rPr>
          <w:rFonts w:cs="B Badr" w:hint="cs"/>
          <w:sz w:val="24"/>
          <w:szCs w:val="24"/>
          <w:rtl/>
        </w:rPr>
        <w:t>هي</w:t>
      </w:r>
      <w:r w:rsidR="00933D17" w:rsidRPr="003B0AE8">
        <w:rPr>
          <w:rFonts w:cs="B Badr"/>
          <w:sz w:val="24"/>
          <w:szCs w:val="24"/>
          <w:rtl/>
        </w:rPr>
        <w:t xml:space="preserve"> </w:t>
      </w:r>
      <w:r w:rsidR="00933D17" w:rsidRPr="003B0AE8">
        <w:rPr>
          <w:rFonts w:cs="B Badr" w:hint="cs"/>
          <w:sz w:val="24"/>
          <w:szCs w:val="24"/>
          <w:rtl/>
        </w:rPr>
        <w:t>خطبة</w:t>
      </w:r>
      <w:r w:rsidR="00933D17" w:rsidRPr="003B0AE8">
        <w:rPr>
          <w:rFonts w:cs="B Badr"/>
          <w:sz w:val="24"/>
          <w:szCs w:val="24"/>
          <w:rtl/>
        </w:rPr>
        <w:t xml:space="preserve"> </w:t>
      </w:r>
      <w:r w:rsidR="00933D17" w:rsidRPr="003B0AE8">
        <w:rPr>
          <w:rFonts w:cs="B Badr" w:hint="cs"/>
          <w:sz w:val="24"/>
          <w:szCs w:val="24"/>
          <w:rtl/>
        </w:rPr>
        <w:t>الوسيلة</w:t>
      </w:r>
      <w:r w:rsidR="00933D17" w:rsidRPr="003B0AE8">
        <w:rPr>
          <w:rFonts w:cs="B Badr"/>
          <w:sz w:val="24"/>
          <w:szCs w:val="24"/>
          <w:rtl/>
        </w:rPr>
        <w:t>.</w:t>
      </w:r>
      <w:r w:rsidR="00933D17" w:rsidRPr="003B0AE8">
        <w:rPr>
          <w:rFonts w:cs="B Badr" w:hint="cs"/>
          <w:sz w:val="24"/>
          <w:szCs w:val="24"/>
          <w:rtl/>
        </w:rPr>
        <w:t>الكافي</w:t>
      </w:r>
      <w:r w:rsidR="00933D17" w:rsidRPr="003B0AE8">
        <w:rPr>
          <w:rFonts w:cs="B Badr"/>
          <w:sz w:val="24"/>
          <w:szCs w:val="24"/>
          <w:rtl/>
        </w:rPr>
        <w:t xml:space="preserve"> (</w:t>
      </w:r>
      <w:r w:rsidR="00933D17" w:rsidRPr="003B0AE8">
        <w:rPr>
          <w:rFonts w:cs="B Badr" w:hint="cs"/>
          <w:sz w:val="24"/>
          <w:szCs w:val="24"/>
          <w:rtl/>
        </w:rPr>
        <w:t>ط</w:t>
      </w:r>
      <w:r w:rsidR="00933D17" w:rsidRPr="003B0AE8">
        <w:rPr>
          <w:rFonts w:cs="B Badr"/>
          <w:sz w:val="24"/>
          <w:szCs w:val="24"/>
          <w:rtl/>
        </w:rPr>
        <w:t xml:space="preserve"> - </w:t>
      </w:r>
      <w:r w:rsidR="00933D17" w:rsidRPr="003B0AE8">
        <w:rPr>
          <w:rFonts w:cs="B Badr" w:hint="cs"/>
          <w:sz w:val="24"/>
          <w:szCs w:val="24"/>
          <w:rtl/>
        </w:rPr>
        <w:t>الإسلامية</w:t>
      </w:r>
      <w:r w:rsidR="00933D17" w:rsidRPr="003B0AE8">
        <w:rPr>
          <w:rFonts w:cs="B Badr"/>
          <w:sz w:val="24"/>
          <w:szCs w:val="24"/>
          <w:rtl/>
        </w:rPr>
        <w:t>)</w:t>
      </w:r>
      <w:r w:rsidR="00933D17" w:rsidRPr="003B0AE8">
        <w:rPr>
          <w:rFonts w:cs="B Badr" w:hint="cs"/>
          <w:sz w:val="24"/>
          <w:szCs w:val="24"/>
          <w:rtl/>
        </w:rPr>
        <w:t>،</w:t>
      </w:r>
      <w:r w:rsidR="00933D17" w:rsidRPr="003B0AE8">
        <w:rPr>
          <w:rFonts w:cs="B Badr"/>
          <w:sz w:val="24"/>
          <w:szCs w:val="24"/>
          <w:rtl/>
        </w:rPr>
        <w:t xml:space="preserve"> </w:t>
      </w:r>
      <w:r w:rsidR="00933D17" w:rsidRPr="003B0AE8">
        <w:rPr>
          <w:rFonts w:cs="B Badr" w:hint="cs"/>
          <w:sz w:val="24"/>
          <w:szCs w:val="24"/>
          <w:rtl/>
        </w:rPr>
        <w:t>ج‏</w:t>
      </w:r>
      <w:r w:rsidR="00933D17" w:rsidRPr="003B0AE8">
        <w:rPr>
          <w:rFonts w:cs="B Badr"/>
          <w:sz w:val="24"/>
          <w:szCs w:val="24"/>
          <w:rtl/>
        </w:rPr>
        <w:t>8</w:t>
      </w:r>
      <w:r w:rsidR="00933D17" w:rsidRPr="003B0AE8">
        <w:rPr>
          <w:rFonts w:cs="B Badr" w:hint="cs"/>
          <w:sz w:val="24"/>
          <w:szCs w:val="24"/>
          <w:rtl/>
        </w:rPr>
        <w:t>،</w:t>
      </w:r>
      <w:r w:rsidR="00933D17" w:rsidRPr="003B0AE8">
        <w:rPr>
          <w:rFonts w:cs="B Badr"/>
          <w:sz w:val="24"/>
          <w:szCs w:val="24"/>
          <w:rtl/>
        </w:rPr>
        <w:t xml:space="preserve"> </w:t>
      </w:r>
      <w:r w:rsidR="00933D17" w:rsidRPr="003B0AE8">
        <w:rPr>
          <w:rFonts w:cs="B Badr" w:hint="cs"/>
          <w:sz w:val="24"/>
          <w:szCs w:val="24"/>
          <w:rtl/>
        </w:rPr>
        <w:t>ص</w:t>
      </w:r>
      <w:r w:rsidR="00933D17" w:rsidRPr="003B0AE8">
        <w:rPr>
          <w:rFonts w:cs="B Badr"/>
          <w:sz w:val="24"/>
          <w:szCs w:val="24"/>
          <w:rtl/>
        </w:rPr>
        <w:t>: 18</w:t>
      </w:r>
    </w:p>
  </w:footnote>
  <w:footnote w:id="2">
    <w:p w:rsidR="003B0AE8" w:rsidRPr="003B0AE8" w:rsidRDefault="003B0AE8" w:rsidP="003B0AE8">
      <w:pPr>
        <w:pStyle w:val="NormalWeb"/>
        <w:bidi/>
        <w:jc w:val="both"/>
        <w:rPr>
          <w:rFonts w:cs="B Badr"/>
          <w:lang w:bidi="fa-IR"/>
        </w:rPr>
      </w:pPr>
      <w:r w:rsidRPr="003B0AE8">
        <w:rPr>
          <w:rFonts w:cs="B Badr"/>
        </w:rPr>
        <w:t>.</w:t>
      </w:r>
      <w:r w:rsidRPr="003B0AE8">
        <w:rPr>
          <w:rStyle w:val="FootnoteReference"/>
          <w:rFonts w:cs="B Badr"/>
        </w:rPr>
        <w:footnoteRef/>
      </w:r>
      <w:r w:rsidRPr="003B0AE8">
        <w:rPr>
          <w:rFonts w:ascii="Traditional Arabic" w:hAnsi="Traditional Arabic" w:cs="B Badr" w:hint="cs"/>
          <w:color w:val="000000"/>
          <w:rtl/>
          <w:lang w:bidi="fa-IR"/>
        </w:rPr>
        <w:t xml:space="preserve"> </w:t>
      </w:r>
      <w:r w:rsidRPr="003B0AE8">
        <w:rPr>
          <w:rFonts w:ascii="Traditional Arabic" w:hAnsi="Traditional Arabic" w:cs="B Badr" w:hint="cs"/>
          <w:color w:val="000000"/>
          <w:rtl/>
          <w:lang w:bidi="fa-IR"/>
        </w:rPr>
        <w:t>أقول: أمّا ما ذكره من عدم تحقّق الاجماع على الاجزاء في المقام الثالث، فهو متين جدا، و لا أظنّ أحدا يلتزم بالاجزاء فيه، و أمّا تردّده في تحقّق الاجماع في المقام الثاني ففي غير محلّه، لوضوح أنّه لا فرق بينه و بين المقام الثالث في عدم تحقّق الاجماع على الاجزاء، غاية الامر أنّه مع عدم بقاء الموضوع يجب عليه دفع البدل لصاحبه من المثل أو القيمة.</w:t>
      </w:r>
      <w:r>
        <w:rPr>
          <w:rFonts w:cs="B Badr"/>
          <w:lang w:bidi="fa-IR"/>
        </w:rPr>
        <w:t xml:space="preserve"> </w:t>
      </w:r>
      <w:r w:rsidRPr="003B0AE8">
        <w:rPr>
          <w:rFonts w:ascii="Traditional Arabic" w:hAnsi="Traditional Arabic" w:cs="B Badr" w:hint="cs"/>
          <w:color w:val="000000"/>
          <w:rtl/>
          <w:lang w:bidi="fa-IR"/>
        </w:rPr>
        <w:t>و أمّا جزمه بتحقّق الاجماع في المقام الاوّل فغير صحيح، لانّ مسألة الاجزاء مستحدثة غير معنونة في كتب قدماء الاصحاب، فأين لنا تحصيل الاجماع الكاشف عن رأي المعصوم عليه السّلام، مضافا الى ذهاب جماعة كثيرة من العلماء الى عدم الاجزاء، فالاجماع المحصّل غير حاصل، و المنقول غير حجة.</w:t>
      </w:r>
      <w:r w:rsidR="00701D84">
        <w:rPr>
          <w:rFonts w:ascii="Traditional Arabic" w:hAnsi="Traditional Arabic" w:cs="B Badr"/>
          <w:color w:val="000000"/>
          <w:lang w:bidi="fa-IR"/>
        </w:rPr>
        <w:t>)</w:t>
      </w:r>
      <w:r w:rsidR="00701D84" w:rsidRPr="00701D84">
        <w:rPr>
          <w:rFonts w:ascii="Traditional Arabic" w:hAnsi="Traditional Arabic" w:cs="B Badr" w:hint="cs"/>
          <w:color w:val="000000"/>
          <w:rtl/>
          <w:lang w:bidi="fa-IR"/>
        </w:rPr>
        <w:t>مصباح</w:t>
      </w:r>
      <w:r w:rsidR="00701D84" w:rsidRPr="00701D84">
        <w:rPr>
          <w:rFonts w:ascii="Traditional Arabic" w:hAnsi="Traditional Arabic" w:cs="B Badr"/>
          <w:color w:val="000000"/>
          <w:rtl/>
          <w:lang w:bidi="fa-IR"/>
        </w:rPr>
        <w:t xml:space="preserve"> </w:t>
      </w:r>
      <w:r w:rsidR="00701D84" w:rsidRPr="00701D84">
        <w:rPr>
          <w:rFonts w:ascii="Traditional Arabic" w:hAnsi="Traditional Arabic" w:cs="B Badr" w:hint="cs"/>
          <w:color w:val="000000"/>
          <w:rtl/>
          <w:lang w:bidi="fa-IR"/>
        </w:rPr>
        <w:t>الأصول</w:t>
      </w:r>
      <w:r w:rsidR="00701D84" w:rsidRPr="00701D84">
        <w:rPr>
          <w:rFonts w:ascii="Traditional Arabic" w:hAnsi="Traditional Arabic" w:cs="B Badr"/>
          <w:color w:val="000000"/>
          <w:rtl/>
          <w:lang w:bidi="fa-IR"/>
        </w:rPr>
        <w:t xml:space="preserve"> ( </w:t>
      </w:r>
      <w:r w:rsidR="00701D84" w:rsidRPr="00701D84">
        <w:rPr>
          <w:rFonts w:ascii="Traditional Arabic" w:hAnsi="Traditional Arabic" w:cs="B Badr" w:hint="cs"/>
          <w:color w:val="000000"/>
          <w:rtl/>
          <w:lang w:bidi="fa-IR"/>
        </w:rPr>
        <w:t>مباحث</w:t>
      </w:r>
      <w:r w:rsidR="00701D84" w:rsidRPr="00701D84">
        <w:rPr>
          <w:rFonts w:ascii="Traditional Arabic" w:hAnsi="Traditional Arabic" w:cs="B Badr"/>
          <w:color w:val="000000"/>
          <w:rtl/>
          <w:lang w:bidi="fa-IR"/>
        </w:rPr>
        <w:t xml:space="preserve"> </w:t>
      </w:r>
      <w:r w:rsidR="00701D84" w:rsidRPr="00701D84">
        <w:rPr>
          <w:rFonts w:ascii="Traditional Arabic" w:hAnsi="Traditional Arabic" w:cs="B Badr" w:hint="cs"/>
          <w:color w:val="000000"/>
          <w:rtl/>
          <w:lang w:bidi="fa-IR"/>
        </w:rPr>
        <w:t>الفاظ</w:t>
      </w:r>
      <w:r w:rsidR="00701D84" w:rsidRPr="00701D84">
        <w:rPr>
          <w:rFonts w:ascii="Traditional Arabic" w:hAnsi="Traditional Arabic" w:cs="B Badr"/>
          <w:color w:val="000000"/>
          <w:rtl/>
          <w:lang w:bidi="fa-IR"/>
        </w:rPr>
        <w:t xml:space="preserve"> - </w:t>
      </w:r>
      <w:r w:rsidR="00701D84" w:rsidRPr="00701D84">
        <w:rPr>
          <w:rFonts w:ascii="Traditional Arabic" w:hAnsi="Traditional Arabic" w:cs="B Badr" w:hint="cs"/>
          <w:color w:val="000000"/>
          <w:rtl/>
          <w:lang w:bidi="fa-IR"/>
        </w:rPr>
        <w:t>مكتبة</w:t>
      </w:r>
      <w:r w:rsidR="00701D84" w:rsidRPr="00701D84">
        <w:rPr>
          <w:rFonts w:ascii="Traditional Arabic" w:hAnsi="Traditional Arabic" w:cs="B Badr"/>
          <w:color w:val="000000"/>
          <w:rtl/>
          <w:lang w:bidi="fa-IR"/>
        </w:rPr>
        <w:t xml:space="preserve"> </w:t>
      </w:r>
      <w:r w:rsidR="00701D84" w:rsidRPr="00701D84">
        <w:rPr>
          <w:rFonts w:ascii="Traditional Arabic" w:hAnsi="Traditional Arabic" w:cs="B Badr" w:hint="cs"/>
          <w:color w:val="000000"/>
          <w:rtl/>
          <w:lang w:bidi="fa-IR"/>
        </w:rPr>
        <w:t>الداوري</w:t>
      </w:r>
      <w:r w:rsidR="00701D84" w:rsidRPr="00701D84">
        <w:rPr>
          <w:rFonts w:ascii="Traditional Arabic" w:hAnsi="Traditional Arabic" w:cs="B Badr"/>
          <w:color w:val="000000"/>
          <w:rtl/>
          <w:lang w:bidi="fa-IR"/>
        </w:rPr>
        <w:t xml:space="preserve"> )</w:t>
      </w:r>
      <w:r w:rsidR="00701D84" w:rsidRPr="00701D84">
        <w:rPr>
          <w:rFonts w:ascii="Traditional Arabic" w:hAnsi="Traditional Arabic" w:cs="B Badr" w:hint="cs"/>
          <w:color w:val="000000"/>
          <w:rtl/>
          <w:lang w:bidi="fa-IR"/>
        </w:rPr>
        <w:t>،</w:t>
      </w:r>
      <w:r w:rsidR="00701D84" w:rsidRPr="00701D84">
        <w:rPr>
          <w:rFonts w:ascii="Traditional Arabic" w:hAnsi="Traditional Arabic" w:cs="B Badr"/>
          <w:color w:val="000000"/>
          <w:rtl/>
          <w:lang w:bidi="fa-IR"/>
        </w:rPr>
        <w:t xml:space="preserve"> </w:t>
      </w:r>
      <w:r w:rsidR="00701D84" w:rsidRPr="00701D84">
        <w:rPr>
          <w:rFonts w:ascii="Traditional Arabic" w:hAnsi="Traditional Arabic" w:cs="B Badr" w:hint="cs"/>
          <w:color w:val="000000"/>
          <w:rtl/>
          <w:lang w:bidi="fa-IR"/>
        </w:rPr>
        <w:t>ج‏</w:t>
      </w:r>
      <w:r w:rsidR="00701D84" w:rsidRPr="00701D84">
        <w:rPr>
          <w:rFonts w:ascii="Traditional Arabic" w:hAnsi="Traditional Arabic" w:cs="B Badr"/>
          <w:color w:val="000000"/>
          <w:rtl/>
          <w:lang w:bidi="fa-IR"/>
        </w:rPr>
        <w:t>1</w:t>
      </w:r>
      <w:r w:rsidR="00701D84" w:rsidRPr="00701D84">
        <w:rPr>
          <w:rFonts w:ascii="Traditional Arabic" w:hAnsi="Traditional Arabic" w:cs="B Badr" w:hint="cs"/>
          <w:color w:val="000000"/>
          <w:rtl/>
          <w:lang w:bidi="fa-IR"/>
        </w:rPr>
        <w:t>،</w:t>
      </w:r>
      <w:r w:rsidR="00701D84" w:rsidRPr="00701D84">
        <w:rPr>
          <w:rFonts w:ascii="Traditional Arabic" w:hAnsi="Traditional Arabic" w:cs="B Badr"/>
          <w:color w:val="000000"/>
          <w:rtl/>
          <w:lang w:bidi="fa-IR"/>
        </w:rPr>
        <w:t xml:space="preserve"> </w:t>
      </w:r>
      <w:r w:rsidR="00701D84" w:rsidRPr="00701D84">
        <w:rPr>
          <w:rFonts w:ascii="Traditional Arabic" w:hAnsi="Traditional Arabic" w:cs="B Badr" w:hint="cs"/>
          <w:color w:val="000000"/>
          <w:rtl/>
          <w:lang w:bidi="fa-IR"/>
        </w:rPr>
        <w:t>ص</w:t>
      </w:r>
      <w:r w:rsidR="00701D84" w:rsidRPr="00701D84">
        <w:rPr>
          <w:rFonts w:ascii="Traditional Arabic" w:hAnsi="Traditional Arabic" w:cs="B Badr"/>
          <w:color w:val="000000"/>
          <w:rtl/>
          <w:lang w:bidi="fa-IR"/>
        </w:rPr>
        <w:t>: 393</w:t>
      </w:r>
      <w:r w:rsidR="00701D84">
        <w:rPr>
          <w:rFonts w:ascii="Traditional Arabic" w:hAnsi="Traditional Arabic" w:cs="B Badr"/>
          <w:color w:val="000000"/>
          <w:lang w:bidi="fa-IR"/>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2D5"/>
    <w:rsid w:val="000445AA"/>
    <w:rsid w:val="00050628"/>
    <w:rsid w:val="0006112F"/>
    <w:rsid w:val="000C3FE0"/>
    <w:rsid w:val="000E7875"/>
    <w:rsid w:val="00156289"/>
    <w:rsid w:val="001616E9"/>
    <w:rsid w:val="00327AF1"/>
    <w:rsid w:val="003B0AE8"/>
    <w:rsid w:val="003F6AE5"/>
    <w:rsid w:val="00447CD4"/>
    <w:rsid w:val="00451B60"/>
    <w:rsid w:val="004742D5"/>
    <w:rsid w:val="00567EF4"/>
    <w:rsid w:val="0059722F"/>
    <w:rsid w:val="005A6D95"/>
    <w:rsid w:val="005B1DEB"/>
    <w:rsid w:val="005B3856"/>
    <w:rsid w:val="005B5D9E"/>
    <w:rsid w:val="0061055D"/>
    <w:rsid w:val="00634EC9"/>
    <w:rsid w:val="006D10EE"/>
    <w:rsid w:val="00701D84"/>
    <w:rsid w:val="00890998"/>
    <w:rsid w:val="008C18EB"/>
    <w:rsid w:val="00933D17"/>
    <w:rsid w:val="00963267"/>
    <w:rsid w:val="009712C3"/>
    <w:rsid w:val="009B4DC8"/>
    <w:rsid w:val="00CC082A"/>
    <w:rsid w:val="00D1247D"/>
    <w:rsid w:val="00E315B4"/>
    <w:rsid w:val="00F24A7A"/>
    <w:rsid w:val="00FC1B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742D5"/>
    <w:pPr>
      <w:jc w:val="left"/>
    </w:pPr>
    <w:rPr>
      <w:sz w:val="20"/>
      <w:szCs w:val="20"/>
    </w:rPr>
  </w:style>
  <w:style w:type="character" w:customStyle="1" w:styleId="FootnoteTextChar">
    <w:name w:val="Footnote Text Char"/>
    <w:basedOn w:val="DefaultParagraphFont"/>
    <w:link w:val="FootnoteText"/>
    <w:uiPriority w:val="99"/>
    <w:semiHidden/>
    <w:rsid w:val="004742D5"/>
    <w:rPr>
      <w:sz w:val="20"/>
      <w:szCs w:val="20"/>
    </w:rPr>
  </w:style>
  <w:style w:type="character" w:styleId="FootnoteReference">
    <w:name w:val="footnote reference"/>
    <w:basedOn w:val="DefaultParagraphFont"/>
    <w:uiPriority w:val="99"/>
    <w:semiHidden/>
    <w:unhideWhenUsed/>
    <w:rsid w:val="004742D5"/>
    <w:rPr>
      <w:vertAlign w:val="superscript"/>
    </w:rPr>
  </w:style>
  <w:style w:type="paragraph" w:styleId="NormalWeb">
    <w:name w:val="Normal (Web)"/>
    <w:basedOn w:val="Normal"/>
    <w:uiPriority w:val="99"/>
    <w:unhideWhenUsed/>
    <w:rsid w:val="003B0AE8"/>
    <w:pPr>
      <w:spacing w:before="100" w:beforeAutospacing="1" w:after="100" w:afterAutospacing="1"/>
      <w:jc w:val="left"/>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742D5"/>
    <w:pPr>
      <w:jc w:val="left"/>
    </w:pPr>
    <w:rPr>
      <w:sz w:val="20"/>
      <w:szCs w:val="20"/>
    </w:rPr>
  </w:style>
  <w:style w:type="character" w:customStyle="1" w:styleId="FootnoteTextChar">
    <w:name w:val="Footnote Text Char"/>
    <w:basedOn w:val="DefaultParagraphFont"/>
    <w:link w:val="FootnoteText"/>
    <w:uiPriority w:val="99"/>
    <w:semiHidden/>
    <w:rsid w:val="004742D5"/>
    <w:rPr>
      <w:sz w:val="20"/>
      <w:szCs w:val="20"/>
    </w:rPr>
  </w:style>
  <w:style w:type="character" w:styleId="FootnoteReference">
    <w:name w:val="footnote reference"/>
    <w:basedOn w:val="DefaultParagraphFont"/>
    <w:uiPriority w:val="99"/>
    <w:semiHidden/>
    <w:unhideWhenUsed/>
    <w:rsid w:val="004742D5"/>
    <w:rPr>
      <w:vertAlign w:val="superscript"/>
    </w:rPr>
  </w:style>
  <w:style w:type="paragraph" w:styleId="NormalWeb">
    <w:name w:val="Normal (Web)"/>
    <w:basedOn w:val="Normal"/>
    <w:uiPriority w:val="99"/>
    <w:unhideWhenUsed/>
    <w:rsid w:val="003B0AE8"/>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8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HOSEIN</dc:creator>
  <cp:lastModifiedBy>HOSEIN</cp:lastModifiedBy>
  <cp:revision>23</cp:revision>
  <dcterms:created xsi:type="dcterms:W3CDTF">2019-03-09T03:22:00Z</dcterms:created>
  <dcterms:modified xsi:type="dcterms:W3CDTF">2019-03-10T15:35:00Z</dcterms:modified>
</cp:coreProperties>
</file>